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E55CB" w14:textId="77777777" w:rsidR="00176532" w:rsidRPr="00124FE1" w:rsidRDefault="00176532" w:rsidP="00176532">
      <w:pPr>
        <w:spacing w:after="160" w:line="259" w:lineRule="auto"/>
        <w:jc w:val="both"/>
        <w:rPr>
          <w:rFonts w:ascii="Tahoma" w:eastAsia="Calibri" w:hAnsi="Tahoma" w:cs="Tahoma"/>
          <w:sz w:val="22"/>
          <w:szCs w:val="22"/>
          <w:lang w:eastAsia="en-US"/>
        </w:rPr>
      </w:pPr>
      <w:r w:rsidRPr="00124FE1">
        <w:rPr>
          <w:rFonts w:ascii="Tahoma" w:eastAsia="Calibri" w:hAnsi="Tahoma" w:cs="Tahoma"/>
          <w:sz w:val="22"/>
          <w:szCs w:val="22"/>
          <w:lang w:eastAsia="en-US"/>
        </w:rPr>
        <w:t>HÜR İRADE HÜR EYLEM VE AHLAKİ SORUMLULUK</w:t>
      </w:r>
    </w:p>
    <w:p w14:paraId="3FEE0D2F" w14:textId="77777777" w:rsidR="00176532" w:rsidRPr="00124FE1" w:rsidRDefault="00176532" w:rsidP="00176532">
      <w:pPr>
        <w:spacing w:after="160" w:line="259" w:lineRule="auto"/>
        <w:jc w:val="both"/>
        <w:rPr>
          <w:rFonts w:ascii="Tahoma" w:eastAsia="Calibri" w:hAnsi="Tahoma" w:cs="Tahoma"/>
          <w:sz w:val="22"/>
          <w:szCs w:val="22"/>
          <w:lang w:eastAsia="en-US"/>
        </w:rPr>
      </w:pPr>
      <w:r w:rsidRPr="00124FE1">
        <w:rPr>
          <w:rFonts w:ascii="Tahoma" w:eastAsia="Calibri" w:hAnsi="Tahoma" w:cs="Tahoma"/>
          <w:sz w:val="22"/>
          <w:szCs w:val="22"/>
          <w:lang w:eastAsia="en-US"/>
        </w:rPr>
        <w:t>Hür İrade-Hür Eylem ve Ahlaki Sorumluluk ile ilgili bu çalışmayı yaparken internetten  araştırma</w:t>
      </w:r>
      <w:r>
        <w:rPr>
          <w:rFonts w:ascii="Tahoma" w:eastAsia="Calibri" w:hAnsi="Tahoma" w:cs="Tahoma"/>
          <w:sz w:val="22"/>
          <w:szCs w:val="22"/>
          <w:lang w:eastAsia="en-US"/>
        </w:rPr>
        <w:t>lar</w:t>
      </w:r>
      <w:r w:rsidRPr="00124FE1">
        <w:rPr>
          <w:rFonts w:ascii="Tahoma" w:eastAsia="Calibri" w:hAnsi="Tahoma" w:cs="Tahoma"/>
          <w:sz w:val="22"/>
          <w:szCs w:val="22"/>
          <w:lang w:eastAsia="en-US"/>
        </w:rPr>
        <w:t xml:space="preserve"> yaptım.  Felsefi olarak konuyu araştıran ve büyük çoğunluğu tez konusu  olan pek  çok araştırma okudum.  Sonrasında bu çalışma ortaya çıktı.  Bunu siz değerli üstatlarıma sunmadan önce  bu çalışmanın  </w:t>
      </w:r>
      <w:r w:rsidRPr="004461A3">
        <w:rPr>
          <w:rFonts w:ascii="Tahoma" w:eastAsia="Calibri" w:hAnsi="Tahoma" w:cs="Tahoma"/>
          <w:b/>
          <w:color w:val="FF0000"/>
          <w:sz w:val="22"/>
          <w:szCs w:val="22"/>
          <w:lang w:eastAsia="en-US"/>
        </w:rPr>
        <w:t>Prof. Orsan Öymen</w:t>
      </w:r>
      <w:r w:rsidRPr="004461A3">
        <w:rPr>
          <w:rFonts w:ascii="Tahoma" w:eastAsia="Calibri" w:hAnsi="Tahoma" w:cs="Tahoma"/>
          <w:color w:val="000000"/>
          <w:sz w:val="22"/>
          <w:szCs w:val="22"/>
          <w:lang w:eastAsia="en-US"/>
        </w:rPr>
        <w:t xml:space="preserve">’in  </w:t>
      </w:r>
      <w:r w:rsidRPr="00124FE1">
        <w:rPr>
          <w:rFonts w:ascii="Tahoma" w:eastAsia="Calibri" w:hAnsi="Tahoma" w:cs="Tahoma"/>
          <w:sz w:val="22"/>
          <w:szCs w:val="22"/>
          <w:lang w:eastAsia="en-US"/>
        </w:rPr>
        <w:t xml:space="preserve">Özgür İrade başlıklı bir yazısından,  Doç Dr.  </w:t>
      </w:r>
      <w:r w:rsidRPr="004461A3">
        <w:rPr>
          <w:rFonts w:ascii="Tahoma" w:eastAsia="Calibri" w:hAnsi="Tahoma" w:cs="Tahoma"/>
          <w:b/>
          <w:color w:val="FF0000"/>
          <w:sz w:val="22"/>
          <w:szCs w:val="22"/>
          <w:lang w:eastAsia="en-US"/>
        </w:rPr>
        <w:t xml:space="preserve">Şafak Nakajima </w:t>
      </w:r>
      <w:r w:rsidRPr="00124FE1">
        <w:rPr>
          <w:rFonts w:ascii="Tahoma" w:eastAsia="Calibri" w:hAnsi="Tahoma" w:cs="Tahoma"/>
          <w:sz w:val="22"/>
          <w:szCs w:val="22"/>
          <w:lang w:eastAsia="en-US"/>
        </w:rPr>
        <w:t xml:space="preserve">‘nın Özgür İrade başlıklı </w:t>
      </w:r>
      <w:r>
        <w:rPr>
          <w:rFonts w:ascii="Tahoma" w:eastAsia="Calibri" w:hAnsi="Tahoma" w:cs="Tahoma"/>
          <w:sz w:val="22"/>
          <w:szCs w:val="22"/>
          <w:lang w:eastAsia="en-US"/>
        </w:rPr>
        <w:t xml:space="preserve"> bir başka </w:t>
      </w:r>
      <w:r w:rsidRPr="00124FE1">
        <w:rPr>
          <w:rFonts w:ascii="Tahoma" w:eastAsia="Calibri" w:hAnsi="Tahoma" w:cs="Tahoma"/>
          <w:sz w:val="22"/>
          <w:szCs w:val="22"/>
          <w:lang w:eastAsia="en-US"/>
        </w:rPr>
        <w:t xml:space="preserve">çalışmasından   ve </w:t>
      </w:r>
      <w:r w:rsidRPr="004461A3">
        <w:rPr>
          <w:rFonts w:ascii="Tahoma" w:eastAsia="Calibri" w:hAnsi="Tahoma" w:cs="Tahoma"/>
          <w:b/>
          <w:color w:val="FF0000"/>
          <w:sz w:val="22"/>
          <w:szCs w:val="22"/>
          <w:lang w:eastAsia="en-US"/>
        </w:rPr>
        <w:t xml:space="preserve"> Ali Osman Gündoğan</w:t>
      </w:r>
      <w:r w:rsidRPr="004461A3">
        <w:rPr>
          <w:rFonts w:ascii="Tahoma" w:eastAsia="Calibri" w:hAnsi="Tahoma" w:cs="Tahoma"/>
          <w:color w:val="000000"/>
          <w:sz w:val="22"/>
          <w:szCs w:val="22"/>
          <w:lang w:eastAsia="en-US"/>
        </w:rPr>
        <w:t xml:space="preserve">’ın  </w:t>
      </w:r>
      <w:r w:rsidRPr="00124FE1">
        <w:rPr>
          <w:rFonts w:ascii="Tahoma" w:eastAsia="Calibri" w:hAnsi="Tahoma" w:cs="Tahoma"/>
          <w:sz w:val="22"/>
          <w:szCs w:val="22"/>
          <w:lang w:eastAsia="en-US"/>
        </w:rPr>
        <w:t>Eylemde sorumluluk ve Özgürlük ilişkisi üzerine başlıklı  tez konusundan  faydalan</w:t>
      </w:r>
      <w:r>
        <w:rPr>
          <w:rFonts w:ascii="Tahoma" w:eastAsia="Calibri" w:hAnsi="Tahoma" w:cs="Tahoma"/>
          <w:sz w:val="22"/>
          <w:szCs w:val="22"/>
          <w:lang w:eastAsia="en-US"/>
        </w:rPr>
        <w:t>ıl</w:t>
      </w:r>
      <w:r w:rsidRPr="00124FE1">
        <w:rPr>
          <w:rFonts w:ascii="Tahoma" w:eastAsia="Calibri" w:hAnsi="Tahoma" w:cs="Tahoma"/>
          <w:sz w:val="22"/>
          <w:szCs w:val="22"/>
          <w:lang w:eastAsia="en-US"/>
        </w:rPr>
        <w:t>arak oluşturulduğunu belirtmeliyim.  Özellikle  Doç Dr. Şafak Nakajima ‘ nın  çalışması sonrasında yer alan  ‘’ Bu sitenin içeriği izinsiz kopyalanamaz’’ notuna rağmen   bu çalışmada  Şafak N</w:t>
      </w:r>
      <w:r>
        <w:rPr>
          <w:rFonts w:ascii="Tahoma" w:eastAsia="Calibri" w:hAnsi="Tahoma" w:cs="Tahoma"/>
          <w:sz w:val="22"/>
          <w:szCs w:val="22"/>
          <w:lang w:eastAsia="en-US"/>
        </w:rPr>
        <w:t>a</w:t>
      </w:r>
      <w:r w:rsidRPr="00124FE1">
        <w:rPr>
          <w:rFonts w:ascii="Tahoma" w:eastAsia="Calibri" w:hAnsi="Tahoma" w:cs="Tahoma"/>
          <w:sz w:val="22"/>
          <w:szCs w:val="22"/>
          <w:lang w:eastAsia="en-US"/>
        </w:rPr>
        <w:t>kijama  çalışmalarına ilişkin notlardan sıklıkla faydalandığımı belirtmeliyim.   Konu ahlaki sorumluluk üzerine olunca yapılan çalışmaya ilişkin faydalanılan kaynakları  bütün açıklığı ile belirtmem gerektiğine olan  inancım  daha</w:t>
      </w:r>
      <w:r>
        <w:rPr>
          <w:rFonts w:ascii="Tahoma" w:eastAsia="Calibri" w:hAnsi="Tahoma" w:cs="Tahoma"/>
          <w:sz w:val="22"/>
          <w:szCs w:val="22"/>
          <w:lang w:eastAsia="en-US"/>
        </w:rPr>
        <w:t xml:space="preserve"> </w:t>
      </w:r>
      <w:r w:rsidRPr="00124FE1">
        <w:rPr>
          <w:rFonts w:ascii="Tahoma" w:eastAsia="Calibri" w:hAnsi="Tahoma" w:cs="Tahoma"/>
          <w:sz w:val="22"/>
          <w:szCs w:val="22"/>
          <w:lang w:eastAsia="en-US"/>
        </w:rPr>
        <w:t xml:space="preserve">da pekiştiğinden bu konuda sizleri de bilgilendirmek istedim.       </w:t>
      </w:r>
    </w:p>
    <w:p w14:paraId="2A7CA602" w14:textId="51A28283" w:rsidR="00176532" w:rsidRPr="00124FE1" w:rsidRDefault="00176532" w:rsidP="00176532">
      <w:pPr>
        <w:spacing w:after="160" w:line="259" w:lineRule="auto"/>
        <w:jc w:val="both"/>
        <w:rPr>
          <w:rFonts w:ascii="Tahoma" w:eastAsia="Calibri" w:hAnsi="Tahoma" w:cs="Tahoma"/>
          <w:sz w:val="22"/>
          <w:szCs w:val="22"/>
          <w:lang w:eastAsia="en-US"/>
        </w:rPr>
      </w:pPr>
      <w:r w:rsidRPr="00124FE1">
        <w:rPr>
          <w:rFonts w:ascii="Tahoma" w:eastAsia="Calibri" w:hAnsi="Tahoma" w:cs="Tahoma"/>
          <w:sz w:val="22"/>
          <w:szCs w:val="22"/>
          <w:lang w:eastAsia="en-US"/>
        </w:rPr>
        <w:t>Özgür iraden</w:t>
      </w:r>
      <w:r w:rsidR="004461A3">
        <w:rPr>
          <w:rFonts w:ascii="Tahoma" w:eastAsia="Calibri" w:hAnsi="Tahoma" w:cs="Tahoma"/>
          <w:sz w:val="22"/>
          <w:szCs w:val="22"/>
          <w:lang w:eastAsia="en-US"/>
        </w:rPr>
        <w:t>n</w:t>
      </w:r>
      <w:r w:rsidR="004461A3" w:rsidRPr="004461A3">
        <w:rPr>
          <w:rFonts w:ascii="Tahoma" w:eastAsia="Calibri" w:hAnsi="Tahoma" w:cs="Tahoma"/>
          <w:sz w:val="22"/>
          <w:szCs w:val="22"/>
          <w:highlight w:val="yellow"/>
          <w:lang w:eastAsia="en-US"/>
        </w:rPr>
        <w:t>in</w:t>
      </w:r>
      <w:r w:rsidRPr="004461A3">
        <w:rPr>
          <w:rFonts w:ascii="Tahoma" w:eastAsia="Calibri" w:hAnsi="Tahoma" w:cs="Tahoma"/>
          <w:sz w:val="22"/>
          <w:szCs w:val="22"/>
          <w:highlight w:val="yellow"/>
          <w:lang w:eastAsia="en-US"/>
        </w:rPr>
        <w:t xml:space="preserve"> </w:t>
      </w:r>
      <w:r w:rsidRPr="00124FE1">
        <w:rPr>
          <w:rFonts w:ascii="Tahoma" w:eastAsia="Calibri" w:hAnsi="Tahoma" w:cs="Tahoma"/>
          <w:sz w:val="22"/>
          <w:szCs w:val="22"/>
          <w:lang w:eastAsia="en-US"/>
        </w:rPr>
        <w:t>varlığı-yokluğu  uzun süre</w:t>
      </w:r>
      <w:r w:rsidRPr="004461A3">
        <w:rPr>
          <w:rFonts w:ascii="Tahoma" w:eastAsia="Calibri" w:hAnsi="Tahoma" w:cs="Tahoma"/>
          <w:strike/>
          <w:sz w:val="22"/>
          <w:szCs w:val="22"/>
          <w:lang w:eastAsia="en-US"/>
        </w:rPr>
        <w:t>ler</w:t>
      </w:r>
      <w:r w:rsidRPr="00124FE1">
        <w:rPr>
          <w:rFonts w:ascii="Tahoma" w:eastAsia="Calibri" w:hAnsi="Tahoma" w:cs="Tahoma"/>
          <w:sz w:val="22"/>
          <w:szCs w:val="22"/>
          <w:lang w:eastAsia="en-US"/>
        </w:rPr>
        <w:t xml:space="preserve">dir  hukuki-felsefi –etik ve  teolojik açıdan  tartışılmakta olan bir konudur. </w:t>
      </w:r>
    </w:p>
    <w:p w14:paraId="0AF95DB7" w14:textId="77777777" w:rsidR="00176532" w:rsidRPr="00124FE1" w:rsidRDefault="00176532" w:rsidP="00176532">
      <w:pPr>
        <w:spacing w:after="160" w:line="259" w:lineRule="auto"/>
        <w:jc w:val="both"/>
        <w:rPr>
          <w:rFonts w:ascii="Tahoma" w:eastAsia="Calibri" w:hAnsi="Tahoma" w:cs="Tahoma"/>
          <w:sz w:val="22"/>
          <w:szCs w:val="22"/>
          <w:lang w:eastAsia="en-US"/>
        </w:rPr>
      </w:pPr>
      <w:r w:rsidRPr="00124FE1">
        <w:rPr>
          <w:rFonts w:ascii="Tahoma" w:eastAsia="Calibri" w:hAnsi="Tahoma" w:cs="Tahoma"/>
          <w:sz w:val="22"/>
          <w:szCs w:val="22"/>
          <w:lang w:eastAsia="en-US"/>
        </w:rPr>
        <w:t xml:space="preserve">Özgür İradenin var olmadığını savunan tez   belirlenimcilik  ( determinizm ) ve var olduğunu savunan tez de  Belirlenmezcilik ( indeterminizm ) olarak adlandırılır. </w:t>
      </w:r>
    </w:p>
    <w:p w14:paraId="1B8CF7CB" w14:textId="77777777" w:rsidR="00176532" w:rsidRDefault="00176532" w:rsidP="00176532">
      <w:pPr>
        <w:spacing w:after="160" w:line="259" w:lineRule="auto"/>
        <w:jc w:val="both"/>
        <w:rPr>
          <w:rFonts w:ascii="Tahoma" w:eastAsia="Calibri" w:hAnsi="Tahoma" w:cs="Tahoma"/>
          <w:sz w:val="22"/>
          <w:szCs w:val="22"/>
          <w:lang w:eastAsia="en-US"/>
        </w:rPr>
      </w:pPr>
      <w:r w:rsidRPr="00124FE1">
        <w:rPr>
          <w:rFonts w:ascii="Tahoma" w:eastAsia="Calibri" w:hAnsi="Tahoma" w:cs="Tahoma"/>
          <w:sz w:val="22"/>
          <w:szCs w:val="22"/>
          <w:lang w:eastAsia="en-US"/>
        </w:rPr>
        <w:t xml:space="preserve">Deterministlere  göre </w:t>
      </w:r>
      <w:r w:rsidRPr="004461A3">
        <w:rPr>
          <w:rFonts w:ascii="Tahoma" w:eastAsia="Calibri" w:hAnsi="Tahoma" w:cs="Tahoma"/>
          <w:sz w:val="22"/>
          <w:szCs w:val="22"/>
          <w:highlight w:val="yellow"/>
          <w:lang w:eastAsia="en-US"/>
        </w:rPr>
        <w:t>insanların tüm davranışları dış etkenler ve nedenler tarafından  belirlenir</w:t>
      </w:r>
      <w:r w:rsidRPr="00124FE1">
        <w:rPr>
          <w:rFonts w:ascii="Tahoma" w:eastAsia="Calibri" w:hAnsi="Tahoma" w:cs="Tahoma"/>
          <w:sz w:val="22"/>
          <w:szCs w:val="22"/>
          <w:lang w:eastAsia="en-US"/>
        </w:rPr>
        <w:t xml:space="preserve">. Bu nedenle hür iradeye bağlı bir seçimden söz edilemez.   </w:t>
      </w:r>
    </w:p>
    <w:p w14:paraId="0A0AF713" w14:textId="77777777" w:rsidR="00176532" w:rsidRDefault="00176532" w:rsidP="00176532">
      <w:pPr>
        <w:spacing w:after="160" w:line="259" w:lineRule="auto"/>
        <w:jc w:val="both"/>
        <w:rPr>
          <w:rFonts w:ascii="Tahoma" w:eastAsia="Calibri" w:hAnsi="Tahoma" w:cs="Tahoma"/>
          <w:sz w:val="22"/>
          <w:szCs w:val="22"/>
          <w:lang w:eastAsia="en-US"/>
        </w:rPr>
      </w:pPr>
      <w:r>
        <w:rPr>
          <w:rFonts w:ascii="Tahoma" w:eastAsia="Calibri" w:hAnsi="Tahoma" w:cs="Tahoma"/>
          <w:sz w:val="22"/>
          <w:szCs w:val="22"/>
          <w:lang w:eastAsia="en-US"/>
        </w:rPr>
        <w:t>İndeterministlere göre ise  insanların hür iradelerine dayanan  eylem ve seçimleri vardır. Bu eylem ve seçimler  hür irade dışında  bir nedensellik  ilkesi ile açıklanamaz.</w:t>
      </w:r>
    </w:p>
    <w:p w14:paraId="61B53C96" w14:textId="77777777" w:rsidR="00176532" w:rsidRDefault="00176532" w:rsidP="00176532">
      <w:pPr>
        <w:spacing w:after="160" w:line="259" w:lineRule="auto"/>
        <w:jc w:val="both"/>
        <w:rPr>
          <w:rFonts w:ascii="Tahoma" w:eastAsia="Calibri" w:hAnsi="Tahoma" w:cs="Tahoma"/>
          <w:sz w:val="22"/>
          <w:szCs w:val="22"/>
          <w:lang w:eastAsia="en-US"/>
        </w:rPr>
      </w:pPr>
      <w:r>
        <w:rPr>
          <w:rFonts w:ascii="Tahoma" w:eastAsia="Calibri" w:hAnsi="Tahoma" w:cs="Tahoma"/>
          <w:sz w:val="22"/>
          <w:szCs w:val="22"/>
          <w:lang w:eastAsia="en-US"/>
        </w:rPr>
        <w:t xml:space="preserve">Nedensellik ilkesini ret etmeden hür iradenin var olabileceğini savunan  bir başka tez ise bağdaşırcılık ya da </w:t>
      </w:r>
      <w:r w:rsidRPr="004461A3">
        <w:rPr>
          <w:rFonts w:ascii="Tahoma" w:eastAsia="Calibri" w:hAnsi="Tahoma" w:cs="Tahoma"/>
          <w:sz w:val="22"/>
          <w:szCs w:val="22"/>
          <w:highlight w:val="red"/>
          <w:lang w:eastAsia="en-US"/>
        </w:rPr>
        <w:t xml:space="preserve">ılımlı determinizm olarak </w:t>
      </w:r>
      <w:r>
        <w:rPr>
          <w:rFonts w:ascii="Tahoma" w:eastAsia="Calibri" w:hAnsi="Tahoma" w:cs="Tahoma"/>
          <w:sz w:val="22"/>
          <w:szCs w:val="22"/>
          <w:lang w:eastAsia="en-US"/>
        </w:rPr>
        <w:t xml:space="preserve">adlandırılmaktadır. Ilımlı determinizme göre insanlar içinde bulundukları  anatomik-genetik-psikolojik-biyolojik-coğrafi … nedenler ile  her şeyi hür iradeleri ile belirleyemese de  belirli bir ölçüde  kendisini yapılandırma potansiyeline sahip bir varlık olduğundan  kısmen de olsa  hür iradeden söz edilebileceğini ileri sürerler.       </w:t>
      </w:r>
      <w:r w:rsidRPr="00124FE1">
        <w:rPr>
          <w:rFonts w:ascii="Tahoma" w:eastAsia="Calibri" w:hAnsi="Tahoma" w:cs="Tahoma"/>
          <w:sz w:val="22"/>
          <w:szCs w:val="22"/>
          <w:lang w:eastAsia="en-US"/>
        </w:rPr>
        <w:t xml:space="preserve"> </w:t>
      </w:r>
    </w:p>
    <w:p w14:paraId="00E2388A" w14:textId="1374772A" w:rsidR="00176532" w:rsidRPr="004461A3" w:rsidRDefault="00176532" w:rsidP="00176532">
      <w:pPr>
        <w:spacing w:after="160" w:line="259" w:lineRule="auto"/>
        <w:jc w:val="both"/>
        <w:rPr>
          <w:rFonts w:ascii="Tahoma" w:eastAsia="Calibri" w:hAnsi="Tahoma" w:cs="Tahoma"/>
          <w:sz w:val="22"/>
          <w:szCs w:val="22"/>
          <w:highlight w:val="yellow"/>
          <w:lang w:eastAsia="en-US"/>
        </w:rPr>
      </w:pPr>
      <w:r>
        <w:rPr>
          <w:rFonts w:ascii="Tahoma" w:eastAsia="Calibri" w:hAnsi="Tahoma" w:cs="Tahoma"/>
          <w:sz w:val="22"/>
          <w:szCs w:val="22"/>
          <w:lang w:eastAsia="en-US"/>
        </w:rPr>
        <w:t xml:space="preserve">Determinist görüş de, indeterminist görüş de  insan gerçekliğinden bağımsız durumlar olarak karşımıza çıkmaktadır. İndeterminizm   </w:t>
      </w:r>
      <w:r w:rsidRPr="004461A3">
        <w:rPr>
          <w:rFonts w:ascii="Tahoma" w:eastAsia="Calibri" w:hAnsi="Tahoma" w:cs="Tahoma"/>
          <w:sz w:val="22"/>
          <w:szCs w:val="22"/>
          <w:highlight w:val="yellow"/>
          <w:lang w:eastAsia="en-US"/>
        </w:rPr>
        <w:t xml:space="preserve">toplumla ilgili  bir çok bilimsel gerçeği  görmezden  gelen bir iddia olarak karşımıza çıkmakta iken determinist görüş de insanı bir taş parçası gibi  düşünmekte ve insan  ruhunun aklının  ,duygusunun anlaşılmasını yeterince  açıklayamamaktadır. </w:t>
      </w:r>
    </w:p>
    <w:p w14:paraId="019FA4C8" w14:textId="77777777" w:rsidR="00176532" w:rsidRDefault="00176532" w:rsidP="00176532">
      <w:pPr>
        <w:spacing w:after="160" w:line="259" w:lineRule="auto"/>
        <w:jc w:val="both"/>
        <w:rPr>
          <w:rFonts w:ascii="Tahoma" w:eastAsia="Calibri" w:hAnsi="Tahoma" w:cs="Tahoma"/>
          <w:sz w:val="22"/>
          <w:szCs w:val="22"/>
          <w:lang w:eastAsia="en-US"/>
        </w:rPr>
      </w:pPr>
      <w:r w:rsidRPr="004461A3">
        <w:rPr>
          <w:rFonts w:ascii="Tahoma" w:eastAsia="Calibri" w:hAnsi="Tahoma" w:cs="Tahoma"/>
          <w:sz w:val="22"/>
          <w:szCs w:val="22"/>
          <w:highlight w:val="yellow"/>
          <w:lang w:eastAsia="en-US"/>
        </w:rPr>
        <w:t xml:space="preserve">Bu </w:t>
      </w:r>
      <w:r>
        <w:rPr>
          <w:rFonts w:ascii="Tahoma" w:eastAsia="Calibri" w:hAnsi="Tahoma" w:cs="Tahoma"/>
          <w:sz w:val="22"/>
          <w:szCs w:val="22"/>
          <w:lang w:eastAsia="en-US"/>
        </w:rPr>
        <w:t xml:space="preserve">günün insanı ahlaki kuralların içine doğmuş bir varlıktır. Toplumun içine doğan ve toplumsal bir varlık olan  insan için  ahlak kaçınılmazdır. Her ne kadar ahlak göreceli, de olsa neyin iyi neyin kötü olduğu kişiden kişiye değişse de  herkesin  bir iyi-kötü  anlayışı vardır ve insanların bu iyi kötü anlayışlarının belirli konularda kesişme potansiyeli her zaman vardır.  Bu kesişme potansiyeli  m.lukta  ham taşı yontmak-ülkü mabedini inşa etmek  şeklinde tezahür etmektedir. </w:t>
      </w:r>
      <w:r w:rsidRPr="009B06A6">
        <w:rPr>
          <w:rFonts w:ascii="Tahoma" w:eastAsia="Calibri" w:hAnsi="Tahoma" w:cs="Tahoma"/>
          <w:b/>
          <w:bCs/>
          <w:sz w:val="22"/>
          <w:szCs w:val="22"/>
          <w:lang w:eastAsia="en-US"/>
        </w:rPr>
        <w:t>Bu nedenle ahlakın ön koşulu hür iradenin  varlığıdır</w:t>
      </w:r>
      <w:r>
        <w:rPr>
          <w:rFonts w:ascii="Tahoma" w:eastAsia="Calibri" w:hAnsi="Tahoma" w:cs="Tahoma"/>
          <w:sz w:val="22"/>
          <w:szCs w:val="22"/>
          <w:lang w:eastAsia="en-US"/>
        </w:rPr>
        <w:t xml:space="preserve">. Ilımlı determinizm  çerçevesinde  hür iradenin varlığını  savunmak  olanaklıdır. </w:t>
      </w:r>
    </w:p>
    <w:p w14:paraId="64814B4C" w14:textId="77777777" w:rsidR="00176532" w:rsidRPr="009B06A6" w:rsidRDefault="00176532" w:rsidP="00176532">
      <w:pPr>
        <w:spacing w:after="160" w:line="259" w:lineRule="auto"/>
        <w:jc w:val="both"/>
        <w:rPr>
          <w:rFonts w:ascii="Tahoma" w:eastAsia="Calibri" w:hAnsi="Tahoma" w:cs="Tahoma"/>
          <w:sz w:val="22"/>
          <w:szCs w:val="22"/>
          <w:highlight w:val="yellow"/>
          <w:lang w:eastAsia="en-US"/>
        </w:rPr>
      </w:pPr>
      <w:r w:rsidRPr="009B06A6">
        <w:rPr>
          <w:rFonts w:ascii="Tahoma" w:eastAsia="Calibri" w:hAnsi="Tahoma" w:cs="Tahoma"/>
          <w:sz w:val="22"/>
          <w:szCs w:val="22"/>
          <w:highlight w:val="yellow"/>
          <w:lang w:eastAsia="en-US"/>
        </w:rPr>
        <w:t xml:space="preserve">Dünyada çok az kavram hür irade kadar sezgisel ve kafa karıştırıcıdır.  Sezgilerimiz hür iradeyi  ‘’ kesinlikle vardır ‘’  olarak  kabul ederken akılcı sorgulamamız  bizi  ‘’ hür iradenin  mümkün olmadığı’’ sonucuna yönlendirmektedir. </w:t>
      </w:r>
    </w:p>
    <w:p w14:paraId="4F328241" w14:textId="77777777" w:rsidR="00176532" w:rsidRDefault="00176532" w:rsidP="00176532">
      <w:pPr>
        <w:spacing w:after="160" w:line="259" w:lineRule="auto"/>
        <w:jc w:val="both"/>
        <w:rPr>
          <w:rFonts w:ascii="Tahoma" w:eastAsia="Calibri" w:hAnsi="Tahoma" w:cs="Tahoma"/>
          <w:sz w:val="22"/>
          <w:szCs w:val="22"/>
          <w:lang w:eastAsia="en-US"/>
        </w:rPr>
      </w:pPr>
      <w:r w:rsidRPr="009B06A6">
        <w:rPr>
          <w:rFonts w:ascii="Tahoma" w:eastAsia="Calibri" w:hAnsi="Tahoma" w:cs="Tahoma"/>
          <w:sz w:val="22"/>
          <w:szCs w:val="22"/>
          <w:lang w:eastAsia="en-US"/>
        </w:rPr>
        <w:t>Sinemaya gitmek</w:t>
      </w:r>
      <w:r>
        <w:rPr>
          <w:rFonts w:ascii="Tahoma" w:eastAsia="Calibri" w:hAnsi="Tahoma" w:cs="Tahoma"/>
          <w:sz w:val="22"/>
          <w:szCs w:val="22"/>
          <w:lang w:eastAsia="en-US"/>
        </w:rPr>
        <w:t xml:space="preserve">-ya da L. da ki çalışmaya katılmak ya da başıboş dolanmak  ya da internette sörf yapmak  bir seçimdir. Hepimiz her gün benzeri seçimler yaparız. Yaptığımız  bu seçimlerin  </w:t>
      </w:r>
      <w:r>
        <w:rPr>
          <w:rFonts w:ascii="Tahoma" w:eastAsia="Calibri" w:hAnsi="Tahoma" w:cs="Tahoma"/>
          <w:sz w:val="22"/>
          <w:szCs w:val="22"/>
          <w:lang w:eastAsia="en-US"/>
        </w:rPr>
        <w:lastRenderedPageBreak/>
        <w:t xml:space="preserve">hem determinist görüşe göre , hem indeterminist görüşe göre hem de  ılımlı determinst görüşe göre izahlarını yapmak mümkündür.  Bunların hepsi  hür iradenin var olup olmadığı ile ilgili  açıklamalar olur. </w:t>
      </w:r>
    </w:p>
    <w:p w14:paraId="5FBBC876" w14:textId="77777777" w:rsidR="00176532" w:rsidRDefault="00176532" w:rsidP="00176532">
      <w:pPr>
        <w:spacing w:after="160" w:line="259" w:lineRule="auto"/>
        <w:jc w:val="both"/>
        <w:rPr>
          <w:rFonts w:ascii="Tahoma" w:eastAsia="Calibri" w:hAnsi="Tahoma" w:cs="Tahoma"/>
          <w:sz w:val="22"/>
          <w:szCs w:val="22"/>
          <w:lang w:eastAsia="en-US"/>
        </w:rPr>
      </w:pPr>
      <w:r>
        <w:rPr>
          <w:rFonts w:ascii="Tahoma" w:eastAsia="Calibri" w:hAnsi="Tahoma" w:cs="Tahoma"/>
          <w:sz w:val="22"/>
          <w:szCs w:val="22"/>
          <w:lang w:eastAsia="en-US"/>
        </w:rPr>
        <w:t xml:space="preserve">Ancak insan olarak ortak tepki vereceğimiz olaylar  ahlaki sorumluluk ile ilgilidir. Haberlerde duyduğumuz ve  küçük çocuklara tecavüz eden sapığı elimize geçirebilsek  parçalama dürtüsüyle dolmamız ya da  yakalanan bu sapığın toplum tarafından linç edilmek istenmesi hep ahlaki sorumluluk gereğidir. Bu anlamda yapılmış olunan seçimlerde ahlak normları  etkilidir.   Bu durum eylemlerin bilinçli bir şekilde mi seçildiği yoksa onların başımıza mı geldiği sorusunu akla getirebilir.  Bu soruyu deterministler  ‘’ başımıza gelir’’ şeklinde cevaplar ve   bu cevapla başka seçeneğiniz yoksa eylemlerimizden ahlaki olarak sorumlu  olamazsınız sonucuna ulaşır.    </w:t>
      </w:r>
    </w:p>
    <w:p w14:paraId="42063055" w14:textId="77777777" w:rsidR="00176532" w:rsidRDefault="00176532" w:rsidP="00176532">
      <w:pPr>
        <w:spacing w:after="160" w:line="259" w:lineRule="auto"/>
        <w:jc w:val="both"/>
        <w:rPr>
          <w:rFonts w:ascii="Tahoma" w:eastAsia="Calibri" w:hAnsi="Tahoma" w:cs="Tahoma"/>
          <w:sz w:val="22"/>
          <w:szCs w:val="22"/>
          <w:lang w:eastAsia="en-US"/>
        </w:rPr>
      </w:pPr>
      <w:r>
        <w:rPr>
          <w:rFonts w:ascii="Tahoma" w:eastAsia="Calibri" w:hAnsi="Tahoma" w:cs="Tahoma"/>
          <w:sz w:val="22"/>
          <w:szCs w:val="22"/>
          <w:lang w:eastAsia="en-US"/>
        </w:rPr>
        <w:t xml:space="preserve">Oysa hür irade olduğuna dair inancımız  o kadar güçlüdür ki suç-övgü-günah-ceza gibi  tüm kavramları bu inanç üzerine kurarız. Seçimlerimizi birden fazla seçenek  içinden yaptığımızı varsayarız. Geçmişte yaptığımız bazı olaylara ilişkin pişmanlıklar aslında diğer seçeneklerden birini seçmediğimiz için  kendi kendimize yaptığımız  suçlamalardır.  Oysa deterministlere göre  kendi seçimimiz sandığımız her şey  sadece doğa yasalarının işleyişinin  ve nedenler zincirinin  bir sonucudur. </w:t>
      </w:r>
    </w:p>
    <w:p w14:paraId="02790214" w14:textId="77777777" w:rsidR="00176532" w:rsidRDefault="00176532" w:rsidP="00176532">
      <w:pPr>
        <w:spacing w:after="160" w:line="259" w:lineRule="auto"/>
        <w:jc w:val="both"/>
        <w:rPr>
          <w:rFonts w:ascii="Tahoma" w:eastAsia="Calibri" w:hAnsi="Tahoma" w:cs="Tahoma"/>
          <w:sz w:val="22"/>
          <w:szCs w:val="22"/>
          <w:lang w:eastAsia="en-US"/>
        </w:rPr>
      </w:pPr>
      <w:r>
        <w:rPr>
          <w:rFonts w:ascii="Tahoma" w:eastAsia="Calibri" w:hAnsi="Tahoma" w:cs="Tahoma"/>
          <w:sz w:val="22"/>
          <w:szCs w:val="22"/>
          <w:lang w:eastAsia="en-US"/>
        </w:rPr>
        <w:t xml:space="preserve">Hür irademiz evrensel nedensellik ve  doğa kanunları ile sınırlıdır.  Çünkü hür iradesi ile  su içmeden yaşamayı seçen biri bir süre sonra vücudun susuzluğa vereceği doğa kanunları ile yüzleşmek zorundadır. Ya da yardımcı araçlar olmadan hür iradesi ile uçarak yaşamayı seçen  biri yer çekimi kanununun sonuçlarına katlanmak durumundadır.  Bu nedenle hür iradeyi evrensel nedensellik içinde anlayıp yorumlamak makul ve mantıklıdır. </w:t>
      </w:r>
    </w:p>
    <w:p w14:paraId="77515A88" w14:textId="77777777" w:rsidR="00176532" w:rsidRDefault="00176532" w:rsidP="00176532">
      <w:pPr>
        <w:spacing w:after="160" w:line="259" w:lineRule="auto"/>
        <w:jc w:val="both"/>
        <w:rPr>
          <w:rFonts w:ascii="Tahoma" w:eastAsia="Calibri" w:hAnsi="Tahoma" w:cs="Tahoma"/>
          <w:sz w:val="22"/>
          <w:szCs w:val="22"/>
          <w:lang w:eastAsia="en-US"/>
        </w:rPr>
      </w:pPr>
      <w:r>
        <w:rPr>
          <w:rFonts w:ascii="Tahoma" w:eastAsia="Calibri" w:hAnsi="Tahoma" w:cs="Tahoma"/>
          <w:sz w:val="22"/>
          <w:szCs w:val="22"/>
          <w:lang w:eastAsia="en-US"/>
        </w:rPr>
        <w:t xml:space="preserve">Felsefe gelişmeden önce hür irade meselesi  dinin konusuydu. Bu anlamda her şeyi bilen tanrının çizdiği kader  çizgisi sonrası  insanın ne kadar hür irade sahibi olabileceği sorusu  tarih boyunca  insanların aklını kurcalamıştır.  Adem ve Havva’nın itaatsizlik edeceğini  önceden bilen  tanrı bu durumu   istediği gibi  değiştirme gücüne sahipken, olayların akışına izin vererek bu sonuca göre kurgulanmış inanç biçimine göre yaşayan insanları günahkar kabul ederek ağır biçimde cezalandırması yönündeki inanç öğretileri ne kadar mantıklıdır ve bu cezaya maruz kalan insanların seçimlerini hür iradeleri ile  yaptığını düşünmek ne kadar akılcıdır.  Bu anlamda tanrının insana hür irade ile seçme hakkı tanıdığını iddia eden fatalistler ile  her şeyin doğa kanunları ile  meydana geldiğini , bu nedenle  hür iradenin varlığından  söz edilemeyeceğini iddia eden deterministler arasında  aslında çok fark yoktur. </w:t>
      </w:r>
    </w:p>
    <w:p w14:paraId="070B0621" w14:textId="77777777" w:rsidR="00176532" w:rsidRDefault="00176532" w:rsidP="00176532">
      <w:pPr>
        <w:spacing w:after="160" w:line="259" w:lineRule="auto"/>
        <w:jc w:val="both"/>
        <w:rPr>
          <w:rFonts w:ascii="Tahoma" w:eastAsia="Calibri" w:hAnsi="Tahoma" w:cs="Tahoma"/>
          <w:sz w:val="22"/>
          <w:szCs w:val="22"/>
          <w:lang w:eastAsia="en-US"/>
        </w:rPr>
      </w:pPr>
      <w:r>
        <w:rPr>
          <w:rFonts w:ascii="Tahoma" w:eastAsia="Calibri" w:hAnsi="Tahoma" w:cs="Tahoma"/>
          <w:sz w:val="22"/>
          <w:szCs w:val="22"/>
          <w:lang w:eastAsia="en-US"/>
        </w:rPr>
        <w:t xml:space="preserve">Sorumluluk ve özgürlük eylemi ahlaki yapan  bir unsurdur. Sonucu eylemin vuku bulması ile ortaya çıkar .Bu nedenle her eylemde bir parça hür irade olduğundan söz etmek mümkündür. </w:t>
      </w:r>
    </w:p>
    <w:p w14:paraId="4CF6C7A0" w14:textId="77777777" w:rsidR="00176532" w:rsidRDefault="00176532" w:rsidP="00176532">
      <w:pPr>
        <w:spacing w:after="160" w:line="259" w:lineRule="auto"/>
        <w:jc w:val="both"/>
        <w:rPr>
          <w:rFonts w:ascii="Tahoma" w:eastAsia="Calibri" w:hAnsi="Tahoma" w:cs="Tahoma"/>
          <w:sz w:val="22"/>
          <w:szCs w:val="22"/>
          <w:lang w:eastAsia="en-US"/>
        </w:rPr>
      </w:pPr>
      <w:r>
        <w:rPr>
          <w:rFonts w:ascii="Tahoma" w:eastAsia="Calibri" w:hAnsi="Tahoma" w:cs="Tahoma"/>
          <w:sz w:val="22"/>
          <w:szCs w:val="22"/>
          <w:lang w:eastAsia="en-US"/>
        </w:rPr>
        <w:t xml:space="preserve">Ahlaki eylem tasarlanmış bir fiildir. Bu tasarım eylemi  daha yüce bir amaca yaymak için iradenin kendisini eylem olarak  gerçekleştirme arzusunun ifadesidir.  Burada söz edilen eylem  bir ağacın dalları gibi yeniden filizlenerek  yeni eylemlerin doğmasına neden olarak kendini büyütür. </w:t>
      </w:r>
    </w:p>
    <w:p w14:paraId="32552256" w14:textId="77777777" w:rsidR="00176532" w:rsidRDefault="00176532" w:rsidP="00176532">
      <w:pPr>
        <w:spacing w:after="160" w:line="259" w:lineRule="auto"/>
        <w:jc w:val="both"/>
        <w:rPr>
          <w:rFonts w:ascii="Tahoma" w:eastAsia="Calibri" w:hAnsi="Tahoma" w:cs="Tahoma"/>
          <w:sz w:val="22"/>
          <w:szCs w:val="22"/>
          <w:lang w:eastAsia="en-US"/>
        </w:rPr>
      </w:pPr>
      <w:r>
        <w:rPr>
          <w:rFonts w:ascii="Tahoma" w:eastAsia="Calibri" w:hAnsi="Tahoma" w:cs="Tahoma"/>
          <w:sz w:val="22"/>
          <w:szCs w:val="22"/>
          <w:lang w:eastAsia="en-US"/>
        </w:rPr>
        <w:t xml:space="preserve">Ahlaklılığın en önemli karakteri iyilik ile ortak olma, ona katılma arzusudur. Ahlaka yön veren iyilik isteğidir. Bu gün burada bulunmamızın nedeni de  ahlaka yön veren iyilikten  kendi payımıza düşeni alma arzusudur. </w:t>
      </w:r>
    </w:p>
    <w:p w14:paraId="07131596" w14:textId="77777777" w:rsidR="00176532" w:rsidRDefault="00176532" w:rsidP="00176532">
      <w:pPr>
        <w:spacing w:after="160" w:line="259" w:lineRule="auto"/>
        <w:jc w:val="both"/>
        <w:rPr>
          <w:rFonts w:ascii="Tahoma" w:eastAsia="Calibri" w:hAnsi="Tahoma" w:cs="Tahoma"/>
          <w:sz w:val="22"/>
          <w:szCs w:val="22"/>
          <w:lang w:eastAsia="en-US"/>
        </w:rPr>
      </w:pPr>
      <w:r>
        <w:rPr>
          <w:rFonts w:ascii="Tahoma" w:eastAsia="Calibri" w:hAnsi="Tahoma" w:cs="Tahoma"/>
          <w:sz w:val="22"/>
          <w:szCs w:val="22"/>
          <w:lang w:eastAsia="en-US"/>
        </w:rPr>
        <w:t xml:space="preserve">           </w:t>
      </w:r>
    </w:p>
    <w:p w14:paraId="022FD4E4" w14:textId="77777777" w:rsidR="00176532" w:rsidRDefault="00176532" w:rsidP="00176532">
      <w:pPr>
        <w:spacing w:after="160" w:line="259" w:lineRule="auto"/>
        <w:jc w:val="both"/>
        <w:rPr>
          <w:rFonts w:ascii="Tahoma" w:eastAsia="Calibri" w:hAnsi="Tahoma" w:cs="Tahoma"/>
          <w:sz w:val="22"/>
          <w:szCs w:val="22"/>
          <w:lang w:eastAsia="en-US"/>
        </w:rPr>
      </w:pPr>
      <w:r>
        <w:rPr>
          <w:rFonts w:ascii="Tahoma" w:eastAsia="Calibri" w:hAnsi="Tahoma" w:cs="Tahoma"/>
          <w:sz w:val="22"/>
          <w:szCs w:val="22"/>
          <w:lang w:eastAsia="en-US"/>
        </w:rPr>
        <w:t xml:space="preserve">      </w:t>
      </w:r>
    </w:p>
    <w:p w14:paraId="0006E78E" w14:textId="77777777" w:rsidR="00176532" w:rsidRDefault="00176532" w:rsidP="00176532">
      <w:pPr>
        <w:spacing w:after="160" w:line="259" w:lineRule="auto"/>
        <w:jc w:val="both"/>
        <w:rPr>
          <w:rFonts w:ascii="Tahoma" w:eastAsia="Calibri" w:hAnsi="Tahoma" w:cs="Tahoma"/>
          <w:sz w:val="22"/>
          <w:szCs w:val="22"/>
          <w:lang w:eastAsia="en-US"/>
        </w:rPr>
      </w:pPr>
      <w:r>
        <w:rPr>
          <w:rFonts w:ascii="Tahoma" w:eastAsia="Calibri" w:hAnsi="Tahoma" w:cs="Tahoma"/>
          <w:sz w:val="22"/>
          <w:szCs w:val="22"/>
          <w:lang w:eastAsia="en-US"/>
        </w:rPr>
        <w:t xml:space="preserve"> </w:t>
      </w:r>
    </w:p>
    <w:p w14:paraId="23EDD2F6" w14:textId="77777777" w:rsidR="00220506" w:rsidRDefault="00220506"/>
    <w:sectPr w:rsidR="002205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532"/>
    <w:rsid w:val="00176532"/>
    <w:rsid w:val="001F481B"/>
    <w:rsid w:val="00220506"/>
    <w:rsid w:val="004461A3"/>
    <w:rsid w:val="00822D23"/>
    <w:rsid w:val="00843234"/>
    <w:rsid w:val="009B06A6"/>
    <w:rsid w:val="00A51355"/>
    <w:rsid w:val="00AD63E0"/>
    <w:rsid w:val="00FC64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6C647"/>
  <w15:chartTrackingRefBased/>
  <w15:docId w15:val="{F3C1E3A9-12B5-45EC-ADA2-408B06F31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532"/>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5A92C-42F1-4D19-8631-D9A4A2DB3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Ayhan Nadi Duzkaya</dc:creator>
  <cp:keywords/>
  <dc:description/>
  <cp:lastModifiedBy>necdet kesmez</cp:lastModifiedBy>
  <cp:revision>2</cp:revision>
  <dcterms:created xsi:type="dcterms:W3CDTF">2022-09-13T17:03:00Z</dcterms:created>
  <dcterms:modified xsi:type="dcterms:W3CDTF">2022-09-13T17:03:00Z</dcterms:modified>
</cp:coreProperties>
</file>